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after="156" w:afterLines="50" w:line="480" w:lineRule="exact"/>
        <w:ind w:firstLine="140" w:firstLineChars="67"/>
        <w:rPr>
          <w:rFonts w:ascii="宋体" w:hAnsi="宋体" w:cs="宋体"/>
        </w:rPr>
      </w:pPr>
      <w:r>
        <w:rPr>
          <w:rFonts w:hint="eastAsia" w:ascii="宋体" w:hAnsi="宋体" w:cs="宋体"/>
        </w:rPr>
        <w:t>股票代码：002871             股票简称:伟隆股份            公告编号：2023-1</w:t>
      </w:r>
      <w:r>
        <w:rPr>
          <w:rFonts w:ascii="宋体" w:hAnsi="宋体" w:cs="宋体"/>
        </w:rPr>
        <w:t>12</w:t>
      </w:r>
    </w:p>
    <w:p>
      <w:pPr>
        <w:spacing w:after="156" w:afterLines="50" w:line="480" w:lineRule="exact"/>
        <w:jc w:val="center"/>
        <w:rPr>
          <w:rFonts w:ascii="宋体" w:hAnsi="宋体" w:cs="宋体"/>
          <w:b/>
          <w:bCs/>
          <w:sz w:val="28"/>
          <w:szCs w:val="28"/>
        </w:rPr>
      </w:pPr>
      <w:r>
        <w:rPr>
          <w:rFonts w:hint="eastAsia" w:ascii="宋体" w:hAnsi="宋体" w:cs="宋体"/>
          <w:b/>
          <w:bCs/>
          <w:sz w:val="28"/>
          <w:szCs w:val="28"/>
        </w:rPr>
        <w:t>青岛伟隆阀门股份有限公司</w:t>
      </w:r>
    </w:p>
    <w:p>
      <w:pPr>
        <w:spacing w:after="156" w:afterLines="50" w:line="480" w:lineRule="exact"/>
        <w:jc w:val="center"/>
        <w:rPr>
          <w:rFonts w:ascii="宋体" w:hAnsi="宋体" w:cs="宋体"/>
          <w:b/>
          <w:bCs/>
          <w:sz w:val="28"/>
          <w:szCs w:val="28"/>
        </w:rPr>
      </w:pPr>
      <w:r>
        <w:rPr>
          <w:rFonts w:hint="eastAsia" w:ascii="宋体" w:hAnsi="宋体" w:cs="宋体"/>
          <w:b/>
          <w:bCs/>
          <w:sz w:val="28"/>
          <w:szCs w:val="28"/>
        </w:rPr>
        <w:t>关于回购公司股份的进展公告</w:t>
      </w:r>
    </w:p>
    <w:p>
      <w:pPr>
        <w:pStyle w:val="20"/>
        <w:spacing w:after="156" w:afterLines="50"/>
        <w:rPr>
          <w:rFonts w:hAnsi="宋体"/>
          <w:color w:val="auto"/>
          <w:sz w:val="23"/>
          <w:szCs w:val="23"/>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8019" w:type="dxa"/>
          </w:tcPr>
          <w:p>
            <w:pPr>
              <w:pStyle w:val="20"/>
              <w:spacing w:after="156" w:afterLines="50"/>
              <w:ind w:left="-2" w:leftChars="-1" w:right="-218" w:rightChars="-104" w:firstLine="475" w:firstLineChars="198"/>
              <w:rPr>
                <w:rFonts w:hAnsi="宋体"/>
                <w:bCs/>
                <w:color w:val="auto"/>
              </w:rPr>
            </w:pPr>
            <w:r>
              <w:rPr>
                <w:rFonts w:hint="eastAsia" w:hAnsi="宋体"/>
                <w:bCs/>
                <w:color w:val="auto"/>
              </w:rPr>
              <w:t xml:space="preserve">本公司及董事会全体成员保证信息披露的内容真实、准确、完整，没有虚假记载、误导性陈述或重大遗漏。 </w:t>
            </w:r>
          </w:p>
        </w:tc>
      </w:tr>
    </w:tbl>
    <w:p>
      <w:pPr>
        <w:pStyle w:val="20"/>
        <w:spacing w:after="156" w:afterLines="50"/>
        <w:rPr>
          <w:rFonts w:hAnsi="宋体"/>
          <w:color w:val="auto"/>
          <w:sz w:val="21"/>
          <w:szCs w:val="21"/>
        </w:rPr>
      </w:pPr>
      <w:r>
        <w:rPr>
          <w:rFonts w:hint="eastAsia" w:hAnsi="宋体"/>
          <w:color w:val="auto"/>
          <w:sz w:val="21"/>
          <w:szCs w:val="21"/>
        </w:rPr>
        <w:t xml:space="preserve"> </w:t>
      </w:r>
    </w:p>
    <w:p>
      <w:pPr>
        <w:pStyle w:val="20"/>
        <w:spacing w:after="156" w:afterLines="50" w:line="360" w:lineRule="auto"/>
        <w:ind w:firstLine="463" w:firstLineChars="193"/>
        <w:jc w:val="both"/>
        <w:rPr>
          <w:rFonts w:hAnsi="宋体"/>
        </w:rPr>
      </w:pPr>
      <w:r>
        <w:rPr>
          <w:rFonts w:hint="eastAsia" w:hAnsi="宋体"/>
        </w:rPr>
        <w:t>青岛伟隆阀门股份有限公司（以下简称“公司”）</w:t>
      </w:r>
      <w:r>
        <w:rPr>
          <w:rFonts w:hAnsi="宋体"/>
        </w:rPr>
        <w:t>于</w:t>
      </w:r>
      <w:r>
        <w:rPr>
          <w:rFonts w:hint="eastAsia" w:hAnsi="宋体"/>
        </w:rPr>
        <w:t>2023年10月18日召开的第四届董事会第二十六次会议、第四届监事会第二十次会议审议通过，审议通过了《关于回购公司股份方案的议案》</w:t>
      </w:r>
      <w:r>
        <w:rPr>
          <w:rFonts w:hAnsi="宋体"/>
        </w:rPr>
        <w:t>，公司计划使用自有资金通过深圳证券交易所股票交易系统以集中竞价交易方式回购公司部分社会公众股份，用于实施员工持股计划或股权激励。本次回购的资金总额不低于</w:t>
      </w:r>
      <w:r>
        <w:rPr>
          <w:rFonts w:hint="eastAsia" w:hAnsi="宋体"/>
        </w:rPr>
        <w:t>3</w:t>
      </w:r>
      <w:r>
        <w:rPr>
          <w:rFonts w:hAnsi="宋体"/>
        </w:rPr>
        <w:t>,</w:t>
      </w:r>
      <w:r>
        <w:rPr>
          <w:rFonts w:hint="eastAsia" w:hAnsi="宋体"/>
        </w:rPr>
        <w:t>0</w:t>
      </w:r>
      <w:r>
        <w:rPr>
          <w:rFonts w:hAnsi="宋体"/>
        </w:rPr>
        <w:t>00万元且不超过</w:t>
      </w:r>
      <w:r>
        <w:rPr>
          <w:rFonts w:hint="eastAsia" w:hAnsi="宋体"/>
        </w:rPr>
        <w:t>6</w:t>
      </w:r>
      <w:r>
        <w:rPr>
          <w:rFonts w:hAnsi="宋体"/>
        </w:rPr>
        <w:t>,000万元（均含本数）；回购价格不超过人民币</w:t>
      </w:r>
      <w:r>
        <w:rPr>
          <w:rFonts w:hint="eastAsia" w:hAnsi="宋体"/>
        </w:rPr>
        <w:t>15.50</w:t>
      </w:r>
      <w:r>
        <w:rPr>
          <w:rFonts w:hAnsi="宋体"/>
        </w:rPr>
        <w:t>元/股（含本数），实施期限为自公司董事会审议通过本次回购股份方案之日起不超过12个月。具体内容详见公司于2023年</w:t>
      </w:r>
      <w:r>
        <w:rPr>
          <w:rFonts w:hint="eastAsia" w:hAnsi="宋体"/>
        </w:rPr>
        <w:t>10</w:t>
      </w:r>
      <w:r>
        <w:rPr>
          <w:rFonts w:hAnsi="宋体"/>
        </w:rPr>
        <w:t>月</w:t>
      </w:r>
      <w:r>
        <w:rPr>
          <w:rFonts w:hint="eastAsia" w:hAnsi="宋体"/>
        </w:rPr>
        <w:t>19</w:t>
      </w:r>
      <w:r>
        <w:rPr>
          <w:rFonts w:hAnsi="宋体"/>
        </w:rPr>
        <w:t>日披露于巨潮资讯网（www.cninfo.com.cn）的相关公告。</w:t>
      </w:r>
    </w:p>
    <w:p>
      <w:pPr>
        <w:spacing w:line="360" w:lineRule="auto"/>
        <w:ind w:firstLine="420" w:firstLineChars="175"/>
        <w:rPr>
          <w:rFonts w:ascii="宋体" w:hAnsi="宋体" w:cs="宋体"/>
          <w:sz w:val="24"/>
        </w:rPr>
      </w:pPr>
      <w:r>
        <w:rPr>
          <w:rFonts w:ascii="宋体" w:hAnsi="宋体" w:cs="宋体"/>
          <w:sz w:val="24"/>
        </w:rPr>
        <w:t>现将公司回购股份的情况公告如下：</w:t>
      </w:r>
    </w:p>
    <w:p>
      <w:pPr>
        <w:spacing w:line="360" w:lineRule="auto"/>
        <w:ind w:firstLine="422" w:firstLineChars="175"/>
        <w:rPr>
          <w:rFonts w:ascii="宋体" w:hAnsi="宋体" w:cs="宋体"/>
          <w:b/>
          <w:bCs/>
          <w:sz w:val="24"/>
        </w:rPr>
      </w:pPr>
      <w:r>
        <w:rPr>
          <w:rFonts w:hint="eastAsia" w:ascii="宋体" w:hAnsi="宋体" w:cs="宋体"/>
          <w:b/>
          <w:bCs/>
          <w:sz w:val="24"/>
        </w:rPr>
        <w:t>一、</w:t>
      </w:r>
      <w:r>
        <w:rPr>
          <w:rFonts w:ascii="宋体" w:hAnsi="宋体" w:cs="宋体"/>
          <w:b/>
          <w:bCs/>
          <w:sz w:val="24"/>
        </w:rPr>
        <w:t>回购公司股份的具体情况</w:t>
      </w:r>
    </w:p>
    <w:p>
      <w:pPr>
        <w:spacing w:line="360" w:lineRule="auto"/>
        <w:ind w:firstLine="420" w:firstLineChars="175"/>
        <w:rPr>
          <w:rFonts w:ascii="宋体" w:hAnsi="宋体" w:cs="宋体"/>
          <w:sz w:val="24"/>
        </w:rPr>
      </w:pPr>
      <w:r>
        <w:rPr>
          <w:rFonts w:ascii="宋体" w:hAnsi="宋体" w:cs="宋体"/>
          <w:sz w:val="24"/>
        </w:rPr>
        <w:t>截至目前，在本次回购方案中，公司通过股份回购专用证券账户以集中竞价方式回购公司股份230,000股，占公司目前总股本的0.10%，最高成交价为11.06元/股，最低成交价为10.88元/股，成交总金额为2,523,510元（不含交易费用）。本次回购符合公司回购方案及相关法律法规的要求。</w:t>
      </w:r>
    </w:p>
    <w:p>
      <w:pPr>
        <w:spacing w:line="360" w:lineRule="auto"/>
        <w:ind w:firstLine="422" w:firstLineChars="175"/>
        <w:rPr>
          <w:rFonts w:ascii="宋体" w:hAnsi="宋体" w:cs="宋体"/>
          <w:b/>
          <w:bCs/>
          <w:sz w:val="24"/>
        </w:rPr>
      </w:pPr>
      <w:r>
        <w:rPr>
          <w:rFonts w:hint="eastAsia" w:ascii="宋体" w:hAnsi="宋体" w:cs="宋体"/>
          <w:b/>
          <w:bCs/>
          <w:sz w:val="24"/>
        </w:rPr>
        <w:t>二、</w:t>
      </w:r>
      <w:r>
        <w:rPr>
          <w:rFonts w:ascii="宋体" w:hAnsi="宋体" w:cs="宋体"/>
          <w:b/>
          <w:bCs/>
          <w:sz w:val="24"/>
        </w:rPr>
        <w:t>其他说明</w:t>
      </w:r>
    </w:p>
    <w:p>
      <w:pPr>
        <w:spacing w:line="360" w:lineRule="auto"/>
        <w:ind w:firstLine="420" w:firstLineChars="175"/>
        <w:rPr>
          <w:rFonts w:ascii="宋体" w:hAnsi="宋体" w:cs="宋体"/>
          <w:sz w:val="24"/>
        </w:rPr>
      </w:pPr>
      <w:r>
        <w:rPr>
          <w:rFonts w:ascii="宋体" w:hAnsi="宋体" w:cs="宋体"/>
          <w:sz w:val="24"/>
        </w:rPr>
        <w:t>（一）公司回购股份</w:t>
      </w:r>
      <w:r>
        <w:rPr>
          <w:rFonts w:hint="eastAsia" w:ascii="宋体" w:hAnsi="宋体" w:cs="宋体"/>
          <w:sz w:val="24"/>
        </w:rPr>
        <w:t>的时间、回购股份数量及集中竞价交易的委托时段</w:t>
      </w:r>
      <w:r>
        <w:rPr>
          <w:rFonts w:ascii="宋体" w:hAnsi="宋体" w:cs="宋体"/>
          <w:sz w:val="24"/>
        </w:rPr>
        <w:t>符合《</w:t>
      </w:r>
      <w:r>
        <w:rPr>
          <w:rFonts w:hint="eastAsia" w:ascii="宋体" w:hAnsi="宋体" w:cs="宋体"/>
          <w:sz w:val="24"/>
        </w:rPr>
        <w:t>深圳证券交易所上市公司自律监管指引第9号——回购股份</w:t>
      </w:r>
      <w:r>
        <w:rPr>
          <w:rFonts w:ascii="宋体" w:hAnsi="宋体" w:cs="宋体"/>
          <w:sz w:val="24"/>
        </w:rPr>
        <w:t>》相关规定。</w:t>
      </w:r>
    </w:p>
    <w:p>
      <w:pPr>
        <w:spacing w:line="360" w:lineRule="auto"/>
        <w:ind w:firstLine="420" w:firstLineChars="175"/>
        <w:rPr>
          <w:rFonts w:ascii="宋体" w:hAnsi="宋体" w:cs="宋体"/>
          <w:sz w:val="24"/>
        </w:rPr>
      </w:pPr>
      <w:r>
        <w:rPr>
          <w:rFonts w:ascii="宋体" w:hAnsi="宋体" w:cs="宋体"/>
          <w:sz w:val="24"/>
        </w:rPr>
        <w:t>1</w:t>
      </w:r>
      <w:r>
        <w:rPr>
          <w:rFonts w:hint="eastAsia" w:ascii="宋体" w:hAnsi="宋体" w:cs="宋体"/>
          <w:sz w:val="24"/>
        </w:rPr>
        <w:t>、</w:t>
      </w:r>
      <w:r>
        <w:rPr>
          <w:rFonts w:ascii="宋体" w:hAnsi="宋体" w:cs="宋体"/>
          <w:sz w:val="24"/>
        </w:rPr>
        <w:t>公司未在下列期间内回购股份：</w:t>
      </w:r>
    </w:p>
    <w:p>
      <w:pPr>
        <w:spacing w:line="360" w:lineRule="auto"/>
        <w:ind w:firstLine="420" w:firstLineChars="175"/>
        <w:rPr>
          <w:rFonts w:ascii="宋体" w:hAnsi="宋体" w:cs="宋体"/>
          <w:sz w:val="24"/>
        </w:rPr>
      </w:pPr>
      <w:r>
        <w:rPr>
          <w:rFonts w:ascii="宋体" w:hAnsi="宋体" w:cs="宋体"/>
          <w:sz w:val="24"/>
        </w:rPr>
        <w:t>（1）公司年度报告、半年度报告公告前十个交易日内，因特殊原因推迟公告日期的，自原预约公告日前十个交易日起算；</w:t>
      </w:r>
    </w:p>
    <w:p>
      <w:pPr>
        <w:spacing w:line="360" w:lineRule="auto"/>
        <w:ind w:firstLine="420" w:firstLineChars="175"/>
        <w:rPr>
          <w:rFonts w:ascii="宋体" w:hAnsi="宋体" w:cs="宋体"/>
          <w:sz w:val="24"/>
        </w:rPr>
      </w:pPr>
      <w:r>
        <w:rPr>
          <w:rFonts w:ascii="宋体" w:hAnsi="宋体" w:cs="宋体"/>
          <w:sz w:val="24"/>
        </w:rPr>
        <w:t>（2）公司季度报告、业绩预告、业绩快报公告前十个交易日内；</w:t>
      </w:r>
    </w:p>
    <w:p>
      <w:pPr>
        <w:spacing w:line="360" w:lineRule="auto"/>
        <w:ind w:firstLine="420" w:firstLineChars="175"/>
        <w:rPr>
          <w:rFonts w:ascii="宋体" w:hAnsi="宋体" w:cs="宋体"/>
          <w:sz w:val="24"/>
        </w:rPr>
      </w:pPr>
      <w:r>
        <w:rPr>
          <w:rFonts w:ascii="宋体" w:hAnsi="宋体" w:cs="宋体"/>
          <w:sz w:val="24"/>
        </w:rPr>
        <w:t>（3）自可能对本公司股票交易价格产生重大影响的重大事项发生之日或者在决策过程中，至依法披露之日内；</w:t>
      </w:r>
    </w:p>
    <w:p>
      <w:pPr>
        <w:spacing w:line="360" w:lineRule="auto"/>
        <w:ind w:firstLine="420" w:firstLineChars="175"/>
        <w:rPr>
          <w:rFonts w:ascii="宋体" w:hAnsi="宋体" w:cs="宋体"/>
          <w:sz w:val="24"/>
        </w:rPr>
      </w:pPr>
      <w:r>
        <w:rPr>
          <w:rFonts w:ascii="宋体" w:hAnsi="宋体" w:cs="宋体"/>
          <w:sz w:val="24"/>
        </w:rPr>
        <w:t>（4）中国证监会及深圳证券交易所规定的其他情形。</w:t>
      </w:r>
    </w:p>
    <w:p>
      <w:pPr>
        <w:spacing w:line="360" w:lineRule="auto"/>
        <w:ind w:firstLine="420" w:firstLineChars="175"/>
        <w:rPr>
          <w:rFonts w:ascii="宋体" w:hAnsi="宋体" w:cs="宋体"/>
          <w:sz w:val="24"/>
        </w:rPr>
      </w:pPr>
      <w:r>
        <w:rPr>
          <w:rFonts w:ascii="宋体" w:hAnsi="宋体" w:cs="宋体"/>
          <w:sz w:val="24"/>
        </w:rPr>
        <w:t>2</w:t>
      </w:r>
      <w:r>
        <w:rPr>
          <w:rFonts w:hint="eastAsia" w:ascii="宋体" w:hAnsi="宋体" w:cs="宋体"/>
          <w:sz w:val="24"/>
        </w:rPr>
        <w:t>、</w:t>
      </w:r>
      <w:r>
        <w:rPr>
          <w:rFonts w:ascii="宋体" w:hAnsi="宋体" w:cs="宋体"/>
          <w:sz w:val="24"/>
        </w:rPr>
        <w:t>公司首次回购股份事实发生之日（2023年11月</w:t>
      </w:r>
      <w:r>
        <w:rPr>
          <w:rFonts w:hint="eastAsia" w:ascii="宋体" w:hAnsi="宋体" w:cs="宋体"/>
          <w:sz w:val="24"/>
        </w:rPr>
        <w:t>3</w:t>
      </w:r>
      <w:r>
        <w:rPr>
          <w:rFonts w:ascii="宋体" w:hAnsi="宋体" w:cs="宋体"/>
          <w:sz w:val="24"/>
        </w:rPr>
        <w:t>日）前五个交易日（2023年10月2</w:t>
      </w:r>
      <w:r>
        <w:rPr>
          <w:rFonts w:hint="eastAsia" w:ascii="宋体" w:hAnsi="宋体" w:cs="宋体"/>
          <w:sz w:val="24"/>
        </w:rPr>
        <w:t>7</w:t>
      </w:r>
      <w:r>
        <w:rPr>
          <w:rFonts w:ascii="宋体" w:hAnsi="宋体" w:cs="宋体"/>
          <w:sz w:val="24"/>
        </w:rPr>
        <w:t>日至2023年11月</w:t>
      </w:r>
      <w:r>
        <w:rPr>
          <w:rFonts w:hint="eastAsia" w:ascii="宋体" w:hAnsi="宋体" w:cs="宋体"/>
          <w:sz w:val="24"/>
        </w:rPr>
        <w:t>2</w:t>
      </w:r>
      <w:r>
        <w:rPr>
          <w:rFonts w:ascii="宋体" w:hAnsi="宋体" w:cs="宋体"/>
          <w:sz w:val="24"/>
        </w:rPr>
        <w:t>日）公司股票累计成交量为</w:t>
      </w:r>
      <w:r>
        <w:rPr>
          <w:rFonts w:hint="eastAsia" w:ascii="宋体" w:hAnsi="宋体" w:cs="宋体"/>
          <w:sz w:val="24"/>
        </w:rPr>
        <w:t>7,947,019</w:t>
      </w:r>
      <w:r>
        <w:rPr>
          <w:rFonts w:ascii="宋体" w:hAnsi="宋体" w:cs="宋体"/>
          <w:sz w:val="24"/>
        </w:rPr>
        <w:t>股。公司每五个交易日回购股份的数量未超过首次回购股份事实发生之日前5个交易日公司股票累计成交量的25%。</w:t>
      </w:r>
    </w:p>
    <w:p>
      <w:pPr>
        <w:spacing w:line="360" w:lineRule="auto"/>
        <w:ind w:firstLine="420" w:firstLineChars="175"/>
        <w:rPr>
          <w:rFonts w:ascii="宋体" w:hAnsi="宋体" w:cs="宋体"/>
          <w:sz w:val="24"/>
        </w:rPr>
      </w:pPr>
      <w:r>
        <w:rPr>
          <w:rFonts w:ascii="宋体" w:hAnsi="宋体" w:cs="宋体"/>
          <w:sz w:val="24"/>
        </w:rPr>
        <w:t>3</w:t>
      </w:r>
      <w:r>
        <w:rPr>
          <w:rFonts w:hint="eastAsia" w:ascii="宋体" w:hAnsi="宋体" w:cs="宋体"/>
          <w:sz w:val="24"/>
        </w:rPr>
        <w:t>、</w:t>
      </w:r>
      <w:r>
        <w:rPr>
          <w:rFonts w:ascii="宋体" w:hAnsi="宋体" w:cs="宋体"/>
          <w:sz w:val="24"/>
        </w:rPr>
        <w:t>公司回购股份符合下列要求：</w:t>
      </w:r>
    </w:p>
    <w:p>
      <w:pPr>
        <w:spacing w:line="360" w:lineRule="auto"/>
        <w:ind w:firstLine="420" w:firstLineChars="175"/>
        <w:rPr>
          <w:rFonts w:ascii="宋体" w:hAnsi="宋体" w:cs="宋体"/>
          <w:sz w:val="24"/>
        </w:rPr>
      </w:pPr>
      <w:r>
        <w:rPr>
          <w:rFonts w:ascii="宋体" w:hAnsi="宋体" w:cs="宋体"/>
          <w:sz w:val="24"/>
        </w:rPr>
        <w:t>（1）委托价格不得为公司股票当日交易涨幅限制的价格；</w:t>
      </w:r>
    </w:p>
    <w:p>
      <w:pPr>
        <w:spacing w:line="360" w:lineRule="auto"/>
        <w:ind w:firstLine="420" w:firstLineChars="175"/>
        <w:rPr>
          <w:rFonts w:ascii="宋体" w:hAnsi="宋体" w:cs="宋体"/>
          <w:sz w:val="24"/>
        </w:rPr>
      </w:pPr>
      <w:r>
        <w:rPr>
          <w:rFonts w:ascii="宋体" w:hAnsi="宋体" w:cs="宋体"/>
          <w:sz w:val="24"/>
        </w:rPr>
        <w:t>（2）不得在深圳证券交易所开盘集合竞价、收盘前半小时内及股票价格无涨跌幅限制的交易日内进行股份回购的委托；</w:t>
      </w:r>
    </w:p>
    <w:p>
      <w:pPr>
        <w:spacing w:line="360" w:lineRule="auto"/>
        <w:ind w:firstLine="420" w:firstLineChars="175"/>
        <w:rPr>
          <w:rFonts w:ascii="宋体" w:hAnsi="宋体" w:cs="宋体"/>
          <w:sz w:val="24"/>
        </w:rPr>
      </w:pPr>
      <w:r>
        <w:rPr>
          <w:rFonts w:ascii="宋体" w:hAnsi="宋体" w:cs="宋体"/>
          <w:sz w:val="24"/>
        </w:rPr>
        <w:t>（3）中国证监会及深圳证券交易所规定</w:t>
      </w:r>
      <w:bookmarkStart w:id="0" w:name="_GoBack"/>
      <w:bookmarkEnd w:id="0"/>
      <w:r>
        <w:rPr>
          <w:rFonts w:ascii="宋体" w:hAnsi="宋体" w:cs="宋体"/>
          <w:sz w:val="24"/>
        </w:rPr>
        <w:t>的其他要求。</w:t>
      </w:r>
    </w:p>
    <w:p>
      <w:pPr>
        <w:spacing w:line="360" w:lineRule="auto"/>
        <w:ind w:firstLine="420" w:firstLineChars="175"/>
        <w:rPr>
          <w:rFonts w:ascii="宋体" w:hAnsi="宋体" w:cs="宋体"/>
          <w:sz w:val="24"/>
        </w:rPr>
      </w:pPr>
      <w:r>
        <w:rPr>
          <w:rFonts w:ascii="宋体" w:hAnsi="宋体" w:cs="宋体"/>
          <w:sz w:val="24"/>
        </w:rPr>
        <w:t>（二）公司后续将根据市场情况在回购期限内继续实施回购方案，并按照相关法律法规的规定</w:t>
      </w:r>
      <w:r>
        <w:rPr>
          <w:rFonts w:hint="eastAsia" w:ascii="宋体" w:hAnsi="宋体" w:cs="宋体"/>
          <w:sz w:val="24"/>
        </w:rPr>
        <w:t>在回购期间内</w:t>
      </w:r>
      <w:r>
        <w:rPr>
          <w:rFonts w:ascii="宋体" w:hAnsi="宋体" w:cs="宋体"/>
          <w:sz w:val="24"/>
        </w:rPr>
        <w:t>及时履行信息披露义务，敬请广大投资者注意投资风险。</w:t>
      </w:r>
    </w:p>
    <w:p>
      <w:pPr>
        <w:spacing w:line="360" w:lineRule="auto"/>
        <w:ind w:firstLine="420" w:firstLineChars="175"/>
        <w:rPr>
          <w:rFonts w:ascii="宋体" w:hAnsi="宋体" w:cs="宋体"/>
          <w:sz w:val="24"/>
        </w:rPr>
      </w:pPr>
      <w:r>
        <w:rPr>
          <w:rFonts w:hint="eastAsia" w:ascii="宋体" w:hAnsi="宋体" w:cs="宋体"/>
          <w:sz w:val="24"/>
        </w:rPr>
        <w:t>特此公告！</w:t>
      </w:r>
    </w:p>
    <w:p>
      <w:pPr>
        <w:wordWrap w:val="0"/>
        <w:spacing w:after="156" w:afterLines="50" w:line="480" w:lineRule="exact"/>
        <w:ind w:firstLine="4080" w:firstLineChars="1700"/>
        <w:rPr>
          <w:rFonts w:ascii="宋体" w:hAnsi="宋体" w:cs="宋体"/>
          <w:bCs/>
          <w:sz w:val="24"/>
        </w:rPr>
      </w:pPr>
      <w:r>
        <w:rPr>
          <w:rFonts w:hint="eastAsia" w:ascii="宋体" w:hAnsi="宋体" w:cs="宋体"/>
          <w:bCs/>
          <w:sz w:val="24"/>
        </w:rPr>
        <w:t>青岛伟隆阀门股份有限公司董事会</w:t>
      </w:r>
    </w:p>
    <w:p>
      <w:pPr>
        <w:wordWrap w:val="0"/>
        <w:spacing w:after="156" w:afterLines="50" w:line="480" w:lineRule="exact"/>
        <w:ind w:firstLine="4656" w:firstLineChars="1940"/>
        <w:rPr>
          <w:rFonts w:ascii="宋体" w:hAnsi="宋体" w:cs="宋体"/>
          <w:bCs/>
          <w:sz w:val="24"/>
        </w:rPr>
      </w:pPr>
      <w:r>
        <w:rPr>
          <w:rFonts w:hint="eastAsia" w:ascii="宋体" w:hAnsi="宋体" w:cs="宋体"/>
          <w:bCs/>
          <w:sz w:val="24"/>
        </w:rPr>
        <w:t>2023年1</w:t>
      </w:r>
      <w:r>
        <w:rPr>
          <w:rFonts w:ascii="宋体" w:hAnsi="宋体" w:cs="宋体"/>
          <w:bCs/>
          <w:sz w:val="24"/>
        </w:rPr>
        <w:t>2</w:t>
      </w:r>
      <w:r>
        <w:rPr>
          <w:rFonts w:hint="eastAsia" w:ascii="宋体" w:hAnsi="宋体" w:cs="宋体"/>
          <w:bCs/>
          <w:sz w:val="24"/>
        </w:rPr>
        <w:t>月0</w:t>
      </w:r>
      <w:r>
        <w:rPr>
          <w:rFonts w:ascii="宋体" w:hAnsi="宋体" w:cs="宋体"/>
          <w:bCs/>
          <w:sz w:val="24"/>
        </w:rPr>
        <w:t>1</w:t>
      </w:r>
      <w:r>
        <w:rPr>
          <w:rFonts w:hint="eastAsia" w:ascii="宋体" w:hAnsi="宋体" w:cs="宋体"/>
          <w:bCs/>
          <w:sz w:val="24"/>
        </w:rPr>
        <w:t xml:space="preserve">日  </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iYWIwNzkzYTg0MzhhYmIxYTgwNmNhNDYxODQzNjMifQ=="/>
  </w:docVars>
  <w:rsids>
    <w:rsidRoot w:val="00172A27"/>
    <w:rsid w:val="00006D71"/>
    <w:rsid w:val="00036A0F"/>
    <w:rsid w:val="000A737D"/>
    <w:rsid w:val="000B24C6"/>
    <w:rsid w:val="000B5E59"/>
    <w:rsid w:val="00122F3B"/>
    <w:rsid w:val="00124251"/>
    <w:rsid w:val="00127B66"/>
    <w:rsid w:val="00160622"/>
    <w:rsid w:val="00172A27"/>
    <w:rsid w:val="001975FB"/>
    <w:rsid w:val="001A2A85"/>
    <w:rsid w:val="001B7C22"/>
    <w:rsid w:val="001D3683"/>
    <w:rsid w:val="001E060F"/>
    <w:rsid w:val="00241227"/>
    <w:rsid w:val="00254836"/>
    <w:rsid w:val="00256152"/>
    <w:rsid w:val="00257002"/>
    <w:rsid w:val="002B2AB3"/>
    <w:rsid w:val="002C5929"/>
    <w:rsid w:val="00303FF2"/>
    <w:rsid w:val="00346644"/>
    <w:rsid w:val="00372B23"/>
    <w:rsid w:val="00376A82"/>
    <w:rsid w:val="003977B1"/>
    <w:rsid w:val="003B76F4"/>
    <w:rsid w:val="003B7EF7"/>
    <w:rsid w:val="003E1B9A"/>
    <w:rsid w:val="00411722"/>
    <w:rsid w:val="004464FF"/>
    <w:rsid w:val="00456430"/>
    <w:rsid w:val="00465431"/>
    <w:rsid w:val="00473882"/>
    <w:rsid w:val="00485BB5"/>
    <w:rsid w:val="004873A2"/>
    <w:rsid w:val="004876A3"/>
    <w:rsid w:val="004F449F"/>
    <w:rsid w:val="00521456"/>
    <w:rsid w:val="0054511E"/>
    <w:rsid w:val="00552AAA"/>
    <w:rsid w:val="00563151"/>
    <w:rsid w:val="00572A21"/>
    <w:rsid w:val="00577377"/>
    <w:rsid w:val="005B440A"/>
    <w:rsid w:val="005B79D9"/>
    <w:rsid w:val="005E4235"/>
    <w:rsid w:val="00635E78"/>
    <w:rsid w:val="00664EE6"/>
    <w:rsid w:val="00665BF4"/>
    <w:rsid w:val="00670AD8"/>
    <w:rsid w:val="00674C1A"/>
    <w:rsid w:val="00685BBE"/>
    <w:rsid w:val="006A2F42"/>
    <w:rsid w:val="006A6B6A"/>
    <w:rsid w:val="006E5828"/>
    <w:rsid w:val="006E60F4"/>
    <w:rsid w:val="006F08C0"/>
    <w:rsid w:val="006F1798"/>
    <w:rsid w:val="006F7173"/>
    <w:rsid w:val="0070724C"/>
    <w:rsid w:val="0071091C"/>
    <w:rsid w:val="0076182F"/>
    <w:rsid w:val="00762569"/>
    <w:rsid w:val="00774097"/>
    <w:rsid w:val="0079376C"/>
    <w:rsid w:val="007960CE"/>
    <w:rsid w:val="007A1ED0"/>
    <w:rsid w:val="007B2E5E"/>
    <w:rsid w:val="007E2139"/>
    <w:rsid w:val="007E2DF0"/>
    <w:rsid w:val="007E7709"/>
    <w:rsid w:val="00804C49"/>
    <w:rsid w:val="00831E5A"/>
    <w:rsid w:val="008374C2"/>
    <w:rsid w:val="008672B1"/>
    <w:rsid w:val="008A4239"/>
    <w:rsid w:val="008B450B"/>
    <w:rsid w:val="008E0226"/>
    <w:rsid w:val="008E1379"/>
    <w:rsid w:val="008E2F6F"/>
    <w:rsid w:val="008E7A95"/>
    <w:rsid w:val="008F7262"/>
    <w:rsid w:val="00914250"/>
    <w:rsid w:val="00935587"/>
    <w:rsid w:val="009437D9"/>
    <w:rsid w:val="00954907"/>
    <w:rsid w:val="009549B6"/>
    <w:rsid w:val="00962112"/>
    <w:rsid w:val="009A6EBB"/>
    <w:rsid w:val="009C125A"/>
    <w:rsid w:val="00A03D17"/>
    <w:rsid w:val="00A21AEC"/>
    <w:rsid w:val="00A2795D"/>
    <w:rsid w:val="00A3027F"/>
    <w:rsid w:val="00A62B72"/>
    <w:rsid w:val="00A6584D"/>
    <w:rsid w:val="00A747D4"/>
    <w:rsid w:val="00A82C4E"/>
    <w:rsid w:val="00A84206"/>
    <w:rsid w:val="00A84FD4"/>
    <w:rsid w:val="00A85FDF"/>
    <w:rsid w:val="00AA18D7"/>
    <w:rsid w:val="00B04356"/>
    <w:rsid w:val="00B40396"/>
    <w:rsid w:val="00B74890"/>
    <w:rsid w:val="00B76DF8"/>
    <w:rsid w:val="00B97F4A"/>
    <w:rsid w:val="00BD7411"/>
    <w:rsid w:val="00BF251E"/>
    <w:rsid w:val="00C11A06"/>
    <w:rsid w:val="00C2322C"/>
    <w:rsid w:val="00C27186"/>
    <w:rsid w:val="00C27F10"/>
    <w:rsid w:val="00C44DA2"/>
    <w:rsid w:val="00C641F6"/>
    <w:rsid w:val="00C96B13"/>
    <w:rsid w:val="00CB3B57"/>
    <w:rsid w:val="00CB4AEE"/>
    <w:rsid w:val="00CB664C"/>
    <w:rsid w:val="00CD684E"/>
    <w:rsid w:val="00D013BD"/>
    <w:rsid w:val="00D21914"/>
    <w:rsid w:val="00D272D0"/>
    <w:rsid w:val="00D65A14"/>
    <w:rsid w:val="00D755B9"/>
    <w:rsid w:val="00D828AF"/>
    <w:rsid w:val="00D96A71"/>
    <w:rsid w:val="00DC3FDC"/>
    <w:rsid w:val="00DC4115"/>
    <w:rsid w:val="00DC6A69"/>
    <w:rsid w:val="00E04372"/>
    <w:rsid w:val="00E06FB0"/>
    <w:rsid w:val="00E07973"/>
    <w:rsid w:val="00E10280"/>
    <w:rsid w:val="00E34916"/>
    <w:rsid w:val="00E45713"/>
    <w:rsid w:val="00E52349"/>
    <w:rsid w:val="00E55D47"/>
    <w:rsid w:val="00E93E3B"/>
    <w:rsid w:val="00E9586C"/>
    <w:rsid w:val="00E95872"/>
    <w:rsid w:val="00EC0FC0"/>
    <w:rsid w:val="00ED6B3A"/>
    <w:rsid w:val="00EE1B37"/>
    <w:rsid w:val="00F027F0"/>
    <w:rsid w:val="00F55051"/>
    <w:rsid w:val="00F66C85"/>
    <w:rsid w:val="00F76EA3"/>
    <w:rsid w:val="00FA1664"/>
    <w:rsid w:val="00FA43AF"/>
    <w:rsid w:val="00FF5193"/>
    <w:rsid w:val="00FF6442"/>
    <w:rsid w:val="01A53733"/>
    <w:rsid w:val="02316687"/>
    <w:rsid w:val="02C80FAF"/>
    <w:rsid w:val="03561124"/>
    <w:rsid w:val="077C4D9E"/>
    <w:rsid w:val="0893437B"/>
    <w:rsid w:val="0B3D575C"/>
    <w:rsid w:val="0C37152E"/>
    <w:rsid w:val="0C641AB1"/>
    <w:rsid w:val="0EB80C85"/>
    <w:rsid w:val="102A5457"/>
    <w:rsid w:val="11212166"/>
    <w:rsid w:val="12AF50BB"/>
    <w:rsid w:val="12CB46B8"/>
    <w:rsid w:val="14937C63"/>
    <w:rsid w:val="18F22C7D"/>
    <w:rsid w:val="1B697A59"/>
    <w:rsid w:val="1C034048"/>
    <w:rsid w:val="1DB40C15"/>
    <w:rsid w:val="1EB458DE"/>
    <w:rsid w:val="1ED16490"/>
    <w:rsid w:val="1F874ABE"/>
    <w:rsid w:val="1F8F1A44"/>
    <w:rsid w:val="1FA62962"/>
    <w:rsid w:val="1FC34144"/>
    <w:rsid w:val="20464D04"/>
    <w:rsid w:val="23574633"/>
    <w:rsid w:val="248E3DAD"/>
    <w:rsid w:val="266B11A1"/>
    <w:rsid w:val="26B40C95"/>
    <w:rsid w:val="270B0647"/>
    <w:rsid w:val="29670FA3"/>
    <w:rsid w:val="2ACE7161"/>
    <w:rsid w:val="2CB8189F"/>
    <w:rsid w:val="30895F3F"/>
    <w:rsid w:val="32E3313B"/>
    <w:rsid w:val="35260C73"/>
    <w:rsid w:val="368172E2"/>
    <w:rsid w:val="37116CC3"/>
    <w:rsid w:val="38660A74"/>
    <w:rsid w:val="3C836BC3"/>
    <w:rsid w:val="3D170D39"/>
    <w:rsid w:val="4146140D"/>
    <w:rsid w:val="416A68CA"/>
    <w:rsid w:val="43F3552A"/>
    <w:rsid w:val="46C70AC9"/>
    <w:rsid w:val="47BC5243"/>
    <w:rsid w:val="47D26466"/>
    <w:rsid w:val="48003C27"/>
    <w:rsid w:val="482E71E3"/>
    <w:rsid w:val="4A3F41B7"/>
    <w:rsid w:val="4B4A0964"/>
    <w:rsid w:val="4CC76658"/>
    <w:rsid w:val="4E714B47"/>
    <w:rsid w:val="55E53FF3"/>
    <w:rsid w:val="570E425E"/>
    <w:rsid w:val="58236299"/>
    <w:rsid w:val="58A52693"/>
    <w:rsid w:val="58B266A4"/>
    <w:rsid w:val="58FB2AC1"/>
    <w:rsid w:val="599A6212"/>
    <w:rsid w:val="5A4C4C2B"/>
    <w:rsid w:val="5BAB4D26"/>
    <w:rsid w:val="5E113BD7"/>
    <w:rsid w:val="5E3A0E09"/>
    <w:rsid w:val="5E5E6EB3"/>
    <w:rsid w:val="5E9F5041"/>
    <w:rsid w:val="5FFF6A1A"/>
    <w:rsid w:val="60371BF6"/>
    <w:rsid w:val="603911C4"/>
    <w:rsid w:val="618F680B"/>
    <w:rsid w:val="63784DC3"/>
    <w:rsid w:val="63EC073C"/>
    <w:rsid w:val="679275B3"/>
    <w:rsid w:val="68E9239B"/>
    <w:rsid w:val="692844CB"/>
    <w:rsid w:val="69A949EA"/>
    <w:rsid w:val="6D300490"/>
    <w:rsid w:val="6F5A2D18"/>
    <w:rsid w:val="70116B8D"/>
    <w:rsid w:val="70134ABB"/>
    <w:rsid w:val="71723A66"/>
    <w:rsid w:val="73160199"/>
    <w:rsid w:val="751F1964"/>
    <w:rsid w:val="753875CC"/>
    <w:rsid w:val="78770B45"/>
    <w:rsid w:val="7BEA05C4"/>
    <w:rsid w:val="7DC91FB4"/>
    <w:rsid w:val="7E2B5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Body Text"/>
    <w:basedOn w:val="1"/>
    <w:qFormat/>
    <w:uiPriority w:val="0"/>
    <w:pPr>
      <w:jc w:val="center"/>
    </w:pPr>
    <w:rPr>
      <w:rFonts w:eastAsia="黑体"/>
      <w:sz w:val="32"/>
    </w:rPr>
  </w:style>
  <w:style w:type="paragraph" w:styleId="4">
    <w:name w:val="Date"/>
    <w:basedOn w:val="1"/>
    <w:next w:val="1"/>
    <w:link w:val="14"/>
    <w:qFormat/>
    <w:uiPriority w:val="0"/>
    <w:pPr>
      <w:ind w:left="100" w:leftChars="2500"/>
    </w:pPr>
  </w:style>
  <w:style w:type="paragraph" w:styleId="5">
    <w:name w:val="Balloon Text"/>
    <w:basedOn w:val="1"/>
    <w:qFormat/>
    <w:uiPriority w:val="0"/>
    <w:rPr>
      <w:sz w:val="18"/>
      <w:szCs w:val="18"/>
    </w:rPr>
  </w:style>
  <w:style w:type="paragraph" w:styleId="6">
    <w:name w:val="footer"/>
    <w:basedOn w:val="1"/>
    <w:link w:val="15"/>
    <w:qFormat/>
    <w:uiPriority w:val="0"/>
    <w:pPr>
      <w:tabs>
        <w:tab w:val="center" w:pos="4153"/>
        <w:tab w:val="right" w:pos="8306"/>
      </w:tabs>
      <w:snapToGrid w:val="0"/>
      <w:jc w:val="left"/>
    </w:pPr>
    <w:rPr>
      <w:kern w:val="0"/>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2"/>
    <w:next w:val="2"/>
    <w:link w:val="17"/>
    <w:qFormat/>
    <w:uiPriority w:val="0"/>
    <w:rPr>
      <w:b/>
      <w:bCs/>
    </w:rPr>
  </w:style>
  <w:style w:type="character" w:styleId="11">
    <w:name w:val="page number"/>
    <w:basedOn w:val="10"/>
    <w:qFormat/>
    <w:uiPriority w:val="0"/>
  </w:style>
  <w:style w:type="character" w:styleId="12">
    <w:name w:val="annotation reference"/>
    <w:qFormat/>
    <w:uiPriority w:val="0"/>
    <w:rPr>
      <w:sz w:val="21"/>
      <w:szCs w:val="21"/>
    </w:rPr>
  </w:style>
  <w:style w:type="character" w:customStyle="1" w:styleId="13">
    <w:name w:val="批注文字 字符"/>
    <w:link w:val="2"/>
    <w:qFormat/>
    <w:uiPriority w:val="0"/>
    <w:rPr>
      <w:rFonts w:ascii="Times New Roman" w:hAnsi="Times New Roman"/>
      <w:kern w:val="2"/>
      <w:sz w:val="21"/>
      <w:szCs w:val="24"/>
    </w:rPr>
  </w:style>
  <w:style w:type="character" w:customStyle="1" w:styleId="14">
    <w:name w:val="日期 字符"/>
    <w:basedOn w:val="10"/>
    <w:link w:val="4"/>
    <w:qFormat/>
    <w:uiPriority w:val="0"/>
    <w:rPr>
      <w:rFonts w:ascii="Times New Roman" w:hAnsi="Times New Roman"/>
      <w:kern w:val="2"/>
      <w:sz w:val="21"/>
      <w:szCs w:val="24"/>
    </w:rPr>
  </w:style>
  <w:style w:type="character" w:customStyle="1" w:styleId="15">
    <w:name w:val="页脚 字符"/>
    <w:link w:val="6"/>
    <w:qFormat/>
    <w:uiPriority w:val="0"/>
    <w:rPr>
      <w:rFonts w:ascii="Times New Roman" w:hAnsi="Times New Roman" w:eastAsia="宋体" w:cs="Times New Roman"/>
      <w:sz w:val="18"/>
      <w:szCs w:val="18"/>
    </w:rPr>
  </w:style>
  <w:style w:type="character" w:customStyle="1" w:styleId="16">
    <w:name w:val="页眉 字符"/>
    <w:link w:val="7"/>
    <w:qFormat/>
    <w:uiPriority w:val="99"/>
    <w:rPr>
      <w:rFonts w:ascii="Times New Roman" w:hAnsi="Times New Roman"/>
      <w:kern w:val="2"/>
      <w:sz w:val="18"/>
      <w:szCs w:val="18"/>
    </w:rPr>
  </w:style>
  <w:style w:type="character" w:customStyle="1" w:styleId="17">
    <w:name w:val="批注主题 字符"/>
    <w:link w:val="8"/>
    <w:qFormat/>
    <w:uiPriority w:val="0"/>
    <w:rPr>
      <w:rFonts w:ascii="Times New Roman" w:hAnsi="Times New Roman"/>
      <w:b/>
      <w:bCs/>
      <w:kern w:val="2"/>
      <w:sz w:val="21"/>
      <w:szCs w:val="24"/>
    </w:rPr>
  </w:style>
  <w:style w:type="paragraph" w:customStyle="1" w:styleId="18">
    <w:name w:val="默认段落字体 Para Char Char Char Char Char Char Char"/>
    <w:basedOn w:val="1"/>
    <w:qFormat/>
    <w:uiPriority w:val="0"/>
    <w:pPr>
      <w:tabs>
        <w:tab w:val="left" w:pos="4665"/>
        <w:tab w:val="left" w:pos="8970"/>
      </w:tabs>
      <w:ind w:firstLine="400"/>
    </w:pPr>
    <w:rPr>
      <w:rFonts w:ascii="Tahoma" w:hAnsi="Tahoma"/>
      <w:sz w:val="24"/>
      <w:szCs w:val="20"/>
    </w:rPr>
  </w:style>
  <w:style w:type="paragraph" w:customStyle="1" w:styleId="19">
    <w:name w:val="p0"/>
    <w:basedOn w:val="1"/>
    <w:qFormat/>
    <w:uiPriority w:val="0"/>
    <w:pPr>
      <w:widowControl/>
      <w:jc w:val="left"/>
    </w:pPr>
    <w:rPr>
      <w:kern w:val="0"/>
      <w:szCs w:val="21"/>
    </w:rPr>
  </w:style>
  <w:style w:type="paragraph" w:customStyle="1" w:styleId="2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p15"/>
    <w:basedOn w:val="1"/>
    <w:qFormat/>
    <w:uiPriority w:val="0"/>
    <w:pPr>
      <w:widowControl/>
      <w:spacing w:after="120"/>
    </w:pPr>
    <w:rPr>
      <w:rFonts w:ascii="宋体" w:hAnsi="宋体" w:cs="宋体"/>
      <w:kern w:val="0"/>
      <w:szCs w:val="21"/>
    </w:rPr>
  </w:style>
  <w:style w:type="paragraph" w:customStyle="1" w:styleId="22">
    <w:name w:val="Char"/>
    <w:basedOn w:val="1"/>
    <w:qFormat/>
    <w:uiPriority w:val="0"/>
    <w:pPr>
      <w:tabs>
        <w:tab w:val="left" w:pos="360"/>
      </w:tabs>
    </w:pPr>
    <w:rPr>
      <w:sz w:val="24"/>
    </w:rPr>
  </w:style>
  <w:style w:type="paragraph" w:customStyle="1" w:styleId="23">
    <w:name w:val="Char2 Char Char Char Char Char Char"/>
    <w:basedOn w:val="1"/>
    <w:qFormat/>
    <w:uiPriority w:val="0"/>
    <w:pPr>
      <w:widowControl/>
      <w:spacing w:after="160" w:line="240" w:lineRule="exact"/>
      <w:jc w:val="left"/>
    </w:pPr>
    <w:rPr>
      <w:kern w:val="0"/>
      <w:sz w:val="20"/>
      <w:szCs w:val="20"/>
    </w:rPr>
  </w:style>
  <w:style w:type="paragraph" w:customStyle="1" w:styleId="24">
    <w:name w:val="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styleId="25">
    <w:name w:val="List Paragraph"/>
    <w:basedOn w:val="1"/>
    <w:qFormat/>
    <w:uiPriority w:val="99"/>
    <w:pPr>
      <w:ind w:firstLine="420"/>
    </w:pPr>
  </w:style>
  <w:style w:type="character" w:customStyle="1" w:styleId="26">
    <w:name w:val="15"/>
    <w:basedOn w:val="10"/>
    <w:qFormat/>
    <w:uiPriority w:val="0"/>
    <w:rPr>
      <w:rFonts w:hint="default" w:ascii="Times New Roman" w:hAnsi="Times New Roman" w:cs="Times New Roman"/>
    </w:rPr>
  </w:style>
  <w:style w:type="character" w:customStyle="1" w:styleId="27">
    <w:name w:val="10"/>
    <w:basedOn w:val="10"/>
    <w:qFormat/>
    <w:uiPriority w:val="0"/>
    <w:rPr>
      <w:rFonts w:hint="default" w:ascii="Times New Roman" w:hAnsi="Times New Roman" w:cs="Times New Roman"/>
    </w:rPr>
  </w:style>
  <w:style w:type="paragraph" w:customStyle="1" w:styleId="28">
    <w:name w:val="Revision"/>
    <w:hidden/>
    <w:unhideWhenUsed/>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183</Words>
  <Characters>1044</Characters>
  <Lines>8</Lines>
  <Paragraphs>2</Paragraphs>
  <TotalTime>78</TotalTime>
  <ScaleCrop>false</ScaleCrop>
  <LinksUpToDate>false</LinksUpToDate>
  <CharactersWithSpaces>1225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2010-01-30T03:11:00Z</dcterms:created>
  <dc:creator>lkp</dc:creator>
  <cp:lastModifiedBy>Mr.翔</cp:lastModifiedBy>
  <cp:lastPrinted>2009-07-31T05:57:00Z</cp:lastPrinted>
  <dcterms:modified xsi:type="dcterms:W3CDTF">2023-11-30T05:49:11Z</dcterms:modified>
  <dc:title>股份有限公司</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5E60126F179E44F19D047B8A4545140F_13</vt:lpwstr>
  </property>
</Properties>
</file>